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1060.38</w:t>
            </w:r>
          </w:p>
        </w:tc>
        <w:tc>
          <w:tcPr>
            <w:tcW w:w="4535" w:type="dxa"/>
            <w:vAlign w:val="center"/>
          </w:tcPr>
          <w:p>
            <w:pPr>
              <w:pStyle w:val="14"/>
            </w:pPr>
            <w:r>
              <w:t>一、一般公共服务支出</w:t>
            </w:r>
          </w:p>
        </w:tc>
        <w:tc>
          <w:tcPr>
            <w:tcW w:w="2126" w:type="dxa"/>
            <w:vAlign w:val="center"/>
          </w:tcPr>
          <w:p>
            <w:pPr>
              <w:pStyle w:val="13"/>
            </w:pPr>
            <w:r>
              <w:t>924.20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1060.38</w:t>
            </w:r>
          </w:p>
        </w:tc>
        <w:tc>
          <w:tcPr>
            <w:tcW w:w="4535" w:type="dxa"/>
            <w:vAlign w:val="center"/>
          </w:tcPr>
          <w:p>
            <w:pPr>
              <w:pStyle w:val="16"/>
            </w:pPr>
            <w:r>
              <w:t>本年支出合计</w:t>
            </w:r>
          </w:p>
        </w:tc>
        <w:tc>
          <w:tcPr>
            <w:tcW w:w="2126" w:type="dxa"/>
            <w:vAlign w:val="center"/>
          </w:tcPr>
          <w:p>
            <w:pPr>
              <w:pStyle w:val="17"/>
            </w:pPr>
            <w:r>
              <w:t>1060.38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1060.38</w:t>
            </w:r>
          </w:p>
        </w:tc>
        <w:tc>
          <w:tcPr>
            <w:tcW w:w="4535" w:type="dxa"/>
            <w:vAlign w:val="center"/>
          </w:tcPr>
          <w:p>
            <w:pPr>
              <w:pStyle w:val="16"/>
            </w:pPr>
            <w:r>
              <w:t>支出总计</w:t>
            </w:r>
          </w:p>
        </w:tc>
        <w:tc>
          <w:tcPr>
            <w:tcW w:w="2126" w:type="dxa"/>
            <w:vAlign w:val="center"/>
          </w:tcPr>
          <w:p>
            <w:pPr>
              <w:pStyle w:val="17"/>
            </w:pPr>
            <w:r>
              <w:t>1060.38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211中共高阳县纪律检查委员会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1060.38</w:t>
            </w:r>
          </w:p>
        </w:tc>
        <w:tc>
          <w:tcPr>
            <w:tcW w:w="1134" w:type="dxa"/>
            <w:vAlign w:val="center"/>
          </w:tcPr>
          <w:p>
            <w:pPr>
              <w:pStyle w:val="17"/>
            </w:pPr>
            <w:r>
              <w:t>1060.38</w:t>
            </w:r>
          </w:p>
        </w:tc>
        <w:tc>
          <w:tcPr>
            <w:tcW w:w="1134" w:type="dxa"/>
            <w:vAlign w:val="center"/>
          </w:tcPr>
          <w:p>
            <w:pPr>
              <w:pStyle w:val="17"/>
            </w:pPr>
            <w:r>
              <w:t>1060.38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924.20</w:t>
            </w:r>
          </w:p>
        </w:tc>
        <w:tc>
          <w:tcPr>
            <w:tcW w:w="1134" w:type="dxa"/>
            <w:vAlign w:val="center"/>
          </w:tcPr>
          <w:p>
            <w:pPr>
              <w:pStyle w:val="13"/>
            </w:pPr>
            <w:r>
              <w:t>924.20</w:t>
            </w:r>
          </w:p>
        </w:tc>
        <w:tc>
          <w:tcPr>
            <w:tcW w:w="1134" w:type="dxa"/>
            <w:vAlign w:val="center"/>
          </w:tcPr>
          <w:p>
            <w:pPr>
              <w:pStyle w:val="13"/>
            </w:pPr>
            <w:r>
              <w:t>924.20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924.20</w:t>
            </w:r>
          </w:p>
        </w:tc>
        <w:tc>
          <w:tcPr>
            <w:tcW w:w="1134" w:type="dxa"/>
            <w:vAlign w:val="center"/>
          </w:tcPr>
          <w:p>
            <w:pPr>
              <w:pStyle w:val="13"/>
            </w:pPr>
            <w:r>
              <w:t>924.20</w:t>
            </w:r>
          </w:p>
        </w:tc>
        <w:tc>
          <w:tcPr>
            <w:tcW w:w="1134" w:type="dxa"/>
            <w:vAlign w:val="center"/>
          </w:tcPr>
          <w:p>
            <w:pPr>
              <w:pStyle w:val="13"/>
            </w:pPr>
            <w:r>
              <w:t>924.20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642.20</w:t>
            </w:r>
          </w:p>
        </w:tc>
        <w:tc>
          <w:tcPr>
            <w:tcW w:w="1134" w:type="dxa"/>
            <w:vAlign w:val="center"/>
          </w:tcPr>
          <w:p>
            <w:pPr>
              <w:pStyle w:val="13"/>
            </w:pPr>
            <w:r>
              <w:t>642.20</w:t>
            </w:r>
          </w:p>
        </w:tc>
        <w:tc>
          <w:tcPr>
            <w:tcW w:w="1134" w:type="dxa"/>
            <w:vAlign w:val="center"/>
          </w:tcPr>
          <w:p>
            <w:pPr>
              <w:pStyle w:val="13"/>
            </w:pPr>
            <w:r>
              <w:t>642.20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135.00</w:t>
            </w:r>
          </w:p>
        </w:tc>
        <w:tc>
          <w:tcPr>
            <w:tcW w:w="1134" w:type="dxa"/>
            <w:vAlign w:val="center"/>
          </w:tcPr>
          <w:p>
            <w:pPr>
              <w:pStyle w:val="13"/>
            </w:pPr>
            <w:r>
              <w:t>135.00</w:t>
            </w:r>
          </w:p>
        </w:tc>
        <w:tc>
          <w:tcPr>
            <w:tcW w:w="1134" w:type="dxa"/>
            <w:vAlign w:val="center"/>
          </w:tcPr>
          <w:p>
            <w:pPr>
              <w:pStyle w:val="13"/>
            </w:pPr>
            <w:r>
              <w:t>135.00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r>
              <w:t>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r>
              <w:t>67.25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r>
              <w:t>26.90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r>
              <w:t>42.03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1060.38</w:t>
            </w:r>
          </w:p>
        </w:tc>
        <w:tc>
          <w:tcPr>
            <w:tcW w:w="1361" w:type="dxa"/>
            <w:vAlign w:val="center"/>
          </w:tcPr>
          <w:p>
            <w:pPr>
              <w:pStyle w:val="17"/>
            </w:pPr>
            <w:r>
              <w:t>778.38</w:t>
            </w:r>
          </w:p>
        </w:tc>
        <w:tc>
          <w:tcPr>
            <w:tcW w:w="1361" w:type="dxa"/>
            <w:vAlign w:val="center"/>
          </w:tcPr>
          <w:p>
            <w:pPr>
              <w:pStyle w:val="17"/>
            </w:pPr>
            <w:r>
              <w:t>282.00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924.20</w:t>
            </w:r>
          </w:p>
        </w:tc>
        <w:tc>
          <w:tcPr>
            <w:tcW w:w="1361" w:type="dxa"/>
            <w:vAlign w:val="center"/>
          </w:tcPr>
          <w:p>
            <w:pPr>
              <w:pStyle w:val="13"/>
            </w:pPr>
            <w:r>
              <w:t>642.20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924.20</w:t>
            </w:r>
          </w:p>
        </w:tc>
        <w:tc>
          <w:tcPr>
            <w:tcW w:w="1361" w:type="dxa"/>
            <w:vAlign w:val="center"/>
          </w:tcPr>
          <w:p>
            <w:pPr>
              <w:pStyle w:val="13"/>
            </w:pPr>
            <w:r>
              <w:t>642.20</w:t>
            </w:r>
          </w:p>
        </w:tc>
        <w:tc>
          <w:tcPr>
            <w:tcW w:w="1361" w:type="dxa"/>
            <w:vAlign w:val="center"/>
          </w:tcPr>
          <w:p>
            <w:pPr>
              <w:pStyle w:val="13"/>
            </w:pPr>
            <w:r>
              <w:t>282.00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642.20</w:t>
            </w:r>
          </w:p>
        </w:tc>
        <w:tc>
          <w:tcPr>
            <w:tcW w:w="1361" w:type="dxa"/>
            <w:vAlign w:val="center"/>
          </w:tcPr>
          <w:p>
            <w:pPr>
              <w:pStyle w:val="13"/>
            </w:pPr>
            <w:r>
              <w:t>642.20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135.00</w:t>
            </w:r>
          </w:p>
        </w:tc>
        <w:tc>
          <w:tcPr>
            <w:tcW w:w="1361" w:type="dxa"/>
            <w:vAlign w:val="center"/>
          </w:tcPr>
          <w:p>
            <w:pPr>
              <w:pStyle w:val="13"/>
            </w:pPr>
          </w:p>
        </w:tc>
        <w:tc>
          <w:tcPr>
            <w:tcW w:w="1361" w:type="dxa"/>
            <w:vAlign w:val="center"/>
          </w:tcPr>
          <w:p>
            <w:pPr>
              <w:pStyle w:val="13"/>
            </w:pPr>
            <w:r>
              <w:t>135.00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82.00</w:t>
            </w:r>
          </w:p>
        </w:tc>
        <w:tc>
          <w:tcPr>
            <w:tcW w:w="1361" w:type="dxa"/>
            <w:vAlign w:val="center"/>
          </w:tcPr>
          <w:p>
            <w:pPr>
              <w:pStyle w:val="13"/>
            </w:pPr>
          </w:p>
        </w:tc>
        <w:tc>
          <w:tcPr>
            <w:tcW w:w="1361" w:type="dxa"/>
            <w:vAlign w:val="center"/>
          </w:tcPr>
          <w:p>
            <w:pPr>
              <w:pStyle w:val="13"/>
            </w:pPr>
            <w:r>
              <w:t>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67.25</w:t>
            </w:r>
          </w:p>
        </w:tc>
        <w:tc>
          <w:tcPr>
            <w:tcW w:w="1361" w:type="dxa"/>
            <w:vAlign w:val="center"/>
          </w:tcPr>
          <w:p>
            <w:pPr>
              <w:pStyle w:val="13"/>
            </w:pPr>
            <w:r>
              <w:t>67.25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67.25</w:t>
            </w:r>
          </w:p>
        </w:tc>
        <w:tc>
          <w:tcPr>
            <w:tcW w:w="1361" w:type="dxa"/>
            <w:vAlign w:val="center"/>
          </w:tcPr>
          <w:p>
            <w:pPr>
              <w:pStyle w:val="13"/>
            </w:pPr>
            <w:r>
              <w:t>67.25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67.25</w:t>
            </w:r>
          </w:p>
        </w:tc>
        <w:tc>
          <w:tcPr>
            <w:tcW w:w="1361" w:type="dxa"/>
            <w:vAlign w:val="center"/>
          </w:tcPr>
          <w:p>
            <w:pPr>
              <w:pStyle w:val="13"/>
            </w:pPr>
            <w:r>
              <w:t>67.25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26.90</w:t>
            </w:r>
          </w:p>
        </w:tc>
        <w:tc>
          <w:tcPr>
            <w:tcW w:w="1361" w:type="dxa"/>
            <w:vAlign w:val="center"/>
          </w:tcPr>
          <w:p>
            <w:pPr>
              <w:pStyle w:val="13"/>
            </w:pPr>
            <w:r>
              <w:t>26.90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42.03</w:t>
            </w:r>
          </w:p>
        </w:tc>
        <w:tc>
          <w:tcPr>
            <w:tcW w:w="1361" w:type="dxa"/>
            <w:vAlign w:val="center"/>
          </w:tcPr>
          <w:p>
            <w:pPr>
              <w:pStyle w:val="13"/>
            </w:pPr>
            <w:r>
              <w:t>42.03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42.03</w:t>
            </w:r>
          </w:p>
        </w:tc>
        <w:tc>
          <w:tcPr>
            <w:tcW w:w="1361" w:type="dxa"/>
            <w:vAlign w:val="center"/>
          </w:tcPr>
          <w:p>
            <w:pPr>
              <w:pStyle w:val="13"/>
            </w:pPr>
            <w:r>
              <w:t>42.03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42.03</w:t>
            </w:r>
          </w:p>
        </w:tc>
        <w:tc>
          <w:tcPr>
            <w:tcW w:w="1361" w:type="dxa"/>
            <w:vAlign w:val="center"/>
          </w:tcPr>
          <w:p>
            <w:pPr>
              <w:pStyle w:val="13"/>
            </w:pPr>
            <w:r>
              <w:t>42.03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1060.38</w:t>
            </w:r>
          </w:p>
        </w:tc>
        <w:tc>
          <w:tcPr>
            <w:tcW w:w="3402" w:type="dxa"/>
            <w:vAlign w:val="center"/>
          </w:tcPr>
          <w:p>
            <w:pPr>
              <w:pStyle w:val="14"/>
            </w:pPr>
            <w:r>
              <w:t>一、一般公共服务支出</w:t>
            </w:r>
          </w:p>
        </w:tc>
        <w:tc>
          <w:tcPr>
            <w:tcW w:w="1474" w:type="dxa"/>
            <w:vAlign w:val="center"/>
          </w:tcPr>
          <w:p>
            <w:pPr>
              <w:pStyle w:val="13"/>
            </w:pPr>
            <w:r>
              <w:t>924.20</w:t>
            </w:r>
          </w:p>
        </w:tc>
        <w:tc>
          <w:tcPr>
            <w:tcW w:w="1474" w:type="dxa"/>
            <w:vAlign w:val="center"/>
          </w:tcPr>
          <w:p>
            <w:pPr>
              <w:pStyle w:val="13"/>
            </w:pPr>
            <w:r>
              <w:t>924.20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67.25</w:t>
            </w:r>
          </w:p>
        </w:tc>
        <w:tc>
          <w:tcPr>
            <w:tcW w:w="1474" w:type="dxa"/>
            <w:vAlign w:val="center"/>
          </w:tcPr>
          <w:p>
            <w:pPr>
              <w:pStyle w:val="13"/>
            </w:pPr>
            <w:r>
              <w:t>67.25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26.90</w:t>
            </w:r>
          </w:p>
        </w:tc>
        <w:tc>
          <w:tcPr>
            <w:tcW w:w="1474" w:type="dxa"/>
            <w:vAlign w:val="center"/>
          </w:tcPr>
          <w:p>
            <w:pPr>
              <w:pStyle w:val="13"/>
            </w:pPr>
            <w:r>
              <w:t>26.90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42.03</w:t>
            </w:r>
          </w:p>
        </w:tc>
        <w:tc>
          <w:tcPr>
            <w:tcW w:w="1474" w:type="dxa"/>
            <w:vAlign w:val="center"/>
          </w:tcPr>
          <w:p>
            <w:pPr>
              <w:pStyle w:val="13"/>
            </w:pPr>
            <w:r>
              <w:t>42.03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1060.38</w:t>
            </w:r>
          </w:p>
        </w:tc>
        <w:tc>
          <w:tcPr>
            <w:tcW w:w="3402" w:type="dxa"/>
            <w:vAlign w:val="center"/>
          </w:tcPr>
          <w:p>
            <w:pPr>
              <w:pStyle w:val="16"/>
            </w:pPr>
            <w:r>
              <w:t>本年支出合计</w:t>
            </w:r>
          </w:p>
        </w:tc>
        <w:tc>
          <w:tcPr>
            <w:tcW w:w="1474" w:type="dxa"/>
            <w:vAlign w:val="center"/>
          </w:tcPr>
          <w:p>
            <w:pPr>
              <w:pStyle w:val="17"/>
            </w:pPr>
            <w:r>
              <w:t>1060.38</w:t>
            </w:r>
          </w:p>
        </w:tc>
        <w:tc>
          <w:tcPr>
            <w:tcW w:w="1474" w:type="dxa"/>
            <w:vAlign w:val="center"/>
          </w:tcPr>
          <w:p>
            <w:pPr>
              <w:pStyle w:val="17"/>
            </w:pPr>
            <w:r>
              <w:t>1060.38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1060.38</w:t>
            </w:r>
          </w:p>
        </w:tc>
        <w:tc>
          <w:tcPr>
            <w:tcW w:w="3402" w:type="dxa"/>
            <w:vAlign w:val="center"/>
          </w:tcPr>
          <w:p>
            <w:pPr>
              <w:pStyle w:val="16"/>
            </w:pPr>
            <w:r>
              <w:t>支出总计</w:t>
            </w:r>
          </w:p>
        </w:tc>
        <w:tc>
          <w:tcPr>
            <w:tcW w:w="1474" w:type="dxa"/>
            <w:vAlign w:val="center"/>
          </w:tcPr>
          <w:p>
            <w:pPr>
              <w:pStyle w:val="17"/>
            </w:pPr>
            <w:r>
              <w:t>1060.38</w:t>
            </w:r>
          </w:p>
        </w:tc>
        <w:tc>
          <w:tcPr>
            <w:tcW w:w="1474" w:type="dxa"/>
            <w:vAlign w:val="center"/>
          </w:tcPr>
          <w:p>
            <w:pPr>
              <w:pStyle w:val="17"/>
            </w:pPr>
            <w:r>
              <w:t>1060.38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1060.38</w:t>
            </w:r>
          </w:p>
        </w:tc>
        <w:tc>
          <w:tcPr>
            <w:tcW w:w="2551" w:type="dxa"/>
            <w:vAlign w:val="center"/>
          </w:tcPr>
          <w:p>
            <w:pPr>
              <w:pStyle w:val="17"/>
            </w:pPr>
            <w:r>
              <w:t>778.38</w:t>
            </w:r>
          </w:p>
        </w:tc>
        <w:tc>
          <w:tcPr>
            <w:tcW w:w="2551" w:type="dxa"/>
            <w:vAlign w:val="center"/>
          </w:tcPr>
          <w:p>
            <w:pPr>
              <w:pStyle w:val="17"/>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924.20</w:t>
            </w:r>
          </w:p>
        </w:tc>
        <w:tc>
          <w:tcPr>
            <w:tcW w:w="2551" w:type="dxa"/>
            <w:vAlign w:val="center"/>
          </w:tcPr>
          <w:p>
            <w:pPr>
              <w:pStyle w:val="13"/>
            </w:pPr>
            <w:r>
              <w:t>642.20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924.20</w:t>
            </w:r>
          </w:p>
        </w:tc>
        <w:tc>
          <w:tcPr>
            <w:tcW w:w="2551" w:type="dxa"/>
            <w:vAlign w:val="center"/>
          </w:tcPr>
          <w:p>
            <w:pPr>
              <w:pStyle w:val="13"/>
            </w:pPr>
            <w:r>
              <w:t>642.20</w:t>
            </w:r>
          </w:p>
        </w:tc>
        <w:tc>
          <w:tcPr>
            <w:tcW w:w="2551" w:type="dxa"/>
            <w:vAlign w:val="center"/>
          </w:tcPr>
          <w:p>
            <w:pPr>
              <w:pStyle w:val="13"/>
            </w:pPr>
            <w:r>
              <w:t>282.00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642.20</w:t>
            </w:r>
          </w:p>
        </w:tc>
        <w:tc>
          <w:tcPr>
            <w:tcW w:w="2551" w:type="dxa"/>
            <w:vAlign w:val="center"/>
          </w:tcPr>
          <w:p>
            <w:pPr>
              <w:pStyle w:val="13"/>
            </w:pPr>
            <w:r>
              <w:t>642.20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135.00</w:t>
            </w:r>
          </w:p>
        </w:tc>
        <w:tc>
          <w:tcPr>
            <w:tcW w:w="2551" w:type="dxa"/>
            <w:vAlign w:val="center"/>
          </w:tcPr>
          <w:p>
            <w:pPr>
              <w:pStyle w:val="13"/>
            </w:pPr>
          </w:p>
        </w:tc>
        <w:tc>
          <w:tcPr>
            <w:tcW w:w="2551" w:type="dxa"/>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82.00</w:t>
            </w:r>
          </w:p>
        </w:tc>
        <w:tc>
          <w:tcPr>
            <w:tcW w:w="2551" w:type="dxa"/>
            <w:vAlign w:val="center"/>
          </w:tcPr>
          <w:p>
            <w:pPr>
              <w:pStyle w:val="13"/>
            </w:pPr>
          </w:p>
        </w:tc>
        <w:tc>
          <w:tcPr>
            <w:tcW w:w="2551" w:type="dxa"/>
            <w:vAlign w:val="center"/>
          </w:tcPr>
          <w:p>
            <w:pPr>
              <w:pStyle w:val="13"/>
            </w:pPr>
            <w:r>
              <w:t>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67.25</w:t>
            </w:r>
          </w:p>
        </w:tc>
        <w:tc>
          <w:tcPr>
            <w:tcW w:w="2551" w:type="dxa"/>
            <w:vAlign w:val="center"/>
          </w:tcPr>
          <w:p>
            <w:pPr>
              <w:pStyle w:val="13"/>
            </w:pPr>
            <w:r>
              <w:t>67.25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67.25</w:t>
            </w:r>
          </w:p>
        </w:tc>
        <w:tc>
          <w:tcPr>
            <w:tcW w:w="2551" w:type="dxa"/>
            <w:vAlign w:val="center"/>
          </w:tcPr>
          <w:p>
            <w:pPr>
              <w:pStyle w:val="13"/>
            </w:pPr>
            <w:r>
              <w:t>67.25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67.25</w:t>
            </w:r>
          </w:p>
        </w:tc>
        <w:tc>
          <w:tcPr>
            <w:tcW w:w="2551" w:type="dxa"/>
            <w:vAlign w:val="center"/>
          </w:tcPr>
          <w:p>
            <w:pPr>
              <w:pStyle w:val="13"/>
            </w:pPr>
            <w:r>
              <w:t>67.25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42.03</w:t>
            </w:r>
          </w:p>
        </w:tc>
        <w:tc>
          <w:tcPr>
            <w:tcW w:w="2551" w:type="dxa"/>
            <w:vAlign w:val="center"/>
          </w:tcPr>
          <w:p>
            <w:pPr>
              <w:pStyle w:val="13"/>
            </w:pPr>
            <w:r>
              <w:t>42.03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42.03</w:t>
            </w:r>
          </w:p>
        </w:tc>
        <w:tc>
          <w:tcPr>
            <w:tcW w:w="2551" w:type="dxa"/>
            <w:vAlign w:val="center"/>
          </w:tcPr>
          <w:p>
            <w:pPr>
              <w:pStyle w:val="13"/>
            </w:pPr>
            <w:r>
              <w:t>42.03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42.03</w:t>
            </w:r>
          </w:p>
        </w:tc>
        <w:tc>
          <w:tcPr>
            <w:tcW w:w="2551" w:type="dxa"/>
            <w:vAlign w:val="center"/>
          </w:tcPr>
          <w:p>
            <w:pPr>
              <w:pStyle w:val="13"/>
            </w:pPr>
            <w:r>
              <w:t>42.03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778.38</w:t>
            </w:r>
          </w:p>
        </w:tc>
        <w:tc>
          <w:tcPr>
            <w:tcW w:w="2551" w:type="dxa"/>
            <w:vAlign w:val="center"/>
          </w:tcPr>
          <w:p>
            <w:pPr>
              <w:pStyle w:val="17"/>
            </w:pPr>
            <w:r>
              <w:t>613.54</w:t>
            </w:r>
          </w:p>
        </w:tc>
        <w:tc>
          <w:tcPr>
            <w:tcW w:w="2551" w:type="dxa"/>
            <w:vAlign w:val="center"/>
          </w:tcPr>
          <w:p>
            <w:pPr>
              <w:pStyle w:val="17"/>
            </w:pPr>
            <w:r>
              <w:t>164.84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612.22</w:t>
            </w:r>
          </w:p>
        </w:tc>
        <w:tc>
          <w:tcPr>
            <w:tcW w:w="2551" w:type="dxa"/>
            <w:vAlign w:val="center"/>
          </w:tcPr>
          <w:p>
            <w:pPr>
              <w:pStyle w:val="13"/>
            </w:pPr>
            <w:r>
              <w:t>612.22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268.58</w:t>
            </w:r>
          </w:p>
        </w:tc>
        <w:tc>
          <w:tcPr>
            <w:tcW w:w="2551" w:type="dxa"/>
            <w:vAlign w:val="center"/>
          </w:tcPr>
          <w:p>
            <w:pPr>
              <w:pStyle w:val="13"/>
            </w:pPr>
            <w:r>
              <w:t>268.58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182.32</w:t>
            </w:r>
          </w:p>
        </w:tc>
        <w:tc>
          <w:tcPr>
            <w:tcW w:w="2551" w:type="dxa"/>
            <w:vAlign w:val="center"/>
          </w:tcPr>
          <w:p>
            <w:pPr>
              <w:pStyle w:val="13"/>
            </w:pPr>
            <w:r>
              <w:t>182.32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22.49</w:t>
            </w:r>
          </w:p>
        </w:tc>
        <w:tc>
          <w:tcPr>
            <w:tcW w:w="2551" w:type="dxa"/>
            <w:vAlign w:val="center"/>
          </w:tcPr>
          <w:p>
            <w:pPr>
              <w:pStyle w:val="13"/>
            </w:pPr>
            <w:r>
              <w:t>22.49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67.25</w:t>
            </w:r>
          </w:p>
        </w:tc>
        <w:tc>
          <w:tcPr>
            <w:tcW w:w="2551" w:type="dxa"/>
            <w:vAlign w:val="center"/>
          </w:tcPr>
          <w:p>
            <w:pPr>
              <w:pStyle w:val="13"/>
            </w:pPr>
            <w:r>
              <w:t>67.25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26.90</w:t>
            </w:r>
          </w:p>
        </w:tc>
        <w:tc>
          <w:tcPr>
            <w:tcW w:w="2551" w:type="dxa"/>
            <w:vAlign w:val="center"/>
          </w:tcPr>
          <w:p>
            <w:pPr>
              <w:pStyle w:val="13"/>
            </w:pPr>
            <w:r>
              <w:t>26.90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2.65</w:t>
            </w:r>
          </w:p>
        </w:tc>
        <w:tc>
          <w:tcPr>
            <w:tcW w:w="2551" w:type="dxa"/>
            <w:vAlign w:val="center"/>
          </w:tcPr>
          <w:p>
            <w:pPr>
              <w:pStyle w:val="13"/>
            </w:pPr>
            <w:r>
              <w:t>2.65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42.03</w:t>
            </w:r>
          </w:p>
        </w:tc>
        <w:tc>
          <w:tcPr>
            <w:tcW w:w="2551" w:type="dxa"/>
            <w:vAlign w:val="center"/>
          </w:tcPr>
          <w:p>
            <w:pPr>
              <w:pStyle w:val="13"/>
            </w:pPr>
            <w:r>
              <w:t>42.03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164.84</w:t>
            </w:r>
          </w:p>
        </w:tc>
        <w:tc>
          <w:tcPr>
            <w:tcW w:w="2551" w:type="dxa"/>
            <w:vAlign w:val="center"/>
          </w:tcPr>
          <w:p>
            <w:pPr>
              <w:pStyle w:val="13"/>
            </w:pPr>
          </w:p>
        </w:tc>
        <w:tc>
          <w:tcPr>
            <w:tcW w:w="2551" w:type="dxa"/>
            <w:vAlign w:val="center"/>
          </w:tcPr>
          <w:p>
            <w:pPr>
              <w:pStyle w:val="13"/>
            </w:pPr>
            <w:r>
              <w:t>164.84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32.58</w:t>
            </w:r>
          </w:p>
        </w:tc>
        <w:tc>
          <w:tcPr>
            <w:tcW w:w="2551" w:type="dxa"/>
            <w:vAlign w:val="center"/>
          </w:tcPr>
          <w:p>
            <w:pPr>
              <w:pStyle w:val="13"/>
            </w:pPr>
          </w:p>
        </w:tc>
        <w:tc>
          <w:tcPr>
            <w:tcW w:w="2551" w:type="dxa"/>
            <w:vAlign w:val="center"/>
          </w:tcPr>
          <w:p>
            <w:pPr>
              <w:pStyle w:val="13"/>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18.00</w:t>
            </w:r>
          </w:p>
        </w:tc>
        <w:tc>
          <w:tcPr>
            <w:tcW w:w="2551" w:type="dxa"/>
            <w:vAlign w:val="center"/>
          </w:tcPr>
          <w:p>
            <w:pPr>
              <w:pStyle w:val="13"/>
            </w:pPr>
          </w:p>
        </w:tc>
        <w:tc>
          <w:tcPr>
            <w:tcW w:w="2551"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25.39</w:t>
            </w:r>
          </w:p>
        </w:tc>
        <w:tc>
          <w:tcPr>
            <w:tcW w:w="2551" w:type="dxa"/>
            <w:vAlign w:val="center"/>
          </w:tcPr>
          <w:p>
            <w:pPr>
              <w:pStyle w:val="13"/>
            </w:pPr>
          </w:p>
        </w:tc>
        <w:tc>
          <w:tcPr>
            <w:tcW w:w="2551" w:type="dxa"/>
            <w:vAlign w:val="center"/>
          </w:tcPr>
          <w:p>
            <w:pPr>
              <w:pStyle w:val="13"/>
            </w:pPr>
            <w:r>
              <w:t>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5.49</w:t>
            </w:r>
          </w:p>
        </w:tc>
        <w:tc>
          <w:tcPr>
            <w:tcW w:w="2551" w:type="dxa"/>
            <w:vAlign w:val="center"/>
          </w:tcPr>
          <w:p>
            <w:pPr>
              <w:pStyle w:val="13"/>
            </w:pPr>
          </w:p>
        </w:tc>
        <w:tc>
          <w:tcPr>
            <w:tcW w:w="2551" w:type="dxa"/>
            <w:vAlign w:val="center"/>
          </w:tcPr>
          <w:p>
            <w:pPr>
              <w:pStyle w:val="13"/>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8.41</w:t>
            </w:r>
          </w:p>
        </w:tc>
        <w:tc>
          <w:tcPr>
            <w:tcW w:w="2551" w:type="dxa"/>
            <w:vAlign w:val="center"/>
          </w:tcPr>
          <w:p>
            <w:pPr>
              <w:pStyle w:val="13"/>
            </w:pPr>
          </w:p>
        </w:tc>
        <w:tc>
          <w:tcPr>
            <w:tcW w:w="2551" w:type="dxa"/>
            <w:vAlign w:val="center"/>
          </w:tcPr>
          <w:p>
            <w:pPr>
              <w:pStyle w:val="13"/>
            </w:pPr>
            <w:r>
              <w:t>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4.45</w:t>
            </w:r>
          </w:p>
        </w:tc>
        <w:tc>
          <w:tcPr>
            <w:tcW w:w="2551" w:type="dxa"/>
            <w:vAlign w:val="center"/>
          </w:tcPr>
          <w:p>
            <w:pPr>
              <w:pStyle w:val="13"/>
            </w:pPr>
          </w:p>
        </w:tc>
        <w:tc>
          <w:tcPr>
            <w:tcW w:w="2551" w:type="dxa"/>
            <w:vAlign w:val="center"/>
          </w:tcPr>
          <w:p>
            <w:pPr>
              <w:pStyle w:val="13"/>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17.33</w:t>
            </w:r>
          </w:p>
        </w:tc>
        <w:tc>
          <w:tcPr>
            <w:tcW w:w="2551" w:type="dxa"/>
            <w:vAlign w:val="center"/>
          </w:tcPr>
          <w:p>
            <w:pPr>
              <w:pStyle w:val="13"/>
            </w:pPr>
          </w:p>
        </w:tc>
        <w:tc>
          <w:tcPr>
            <w:tcW w:w="2551" w:type="dxa"/>
            <w:vAlign w:val="center"/>
          </w:tcPr>
          <w:p>
            <w:pPr>
              <w:pStyle w:val="13"/>
            </w:pPr>
            <w:r>
              <w:t>17.33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45.06</w:t>
            </w:r>
          </w:p>
        </w:tc>
        <w:tc>
          <w:tcPr>
            <w:tcW w:w="2551" w:type="dxa"/>
            <w:vAlign w:val="center"/>
          </w:tcPr>
          <w:p>
            <w:pPr>
              <w:pStyle w:val="13"/>
            </w:pPr>
          </w:p>
        </w:tc>
        <w:tc>
          <w:tcPr>
            <w:tcW w:w="2551" w:type="dxa"/>
            <w:vAlign w:val="center"/>
          </w:tcPr>
          <w:p>
            <w:pPr>
              <w:pStyle w:val="13"/>
            </w:pPr>
            <w:r>
              <w:t>45.06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4.13</w:t>
            </w:r>
          </w:p>
        </w:tc>
        <w:tc>
          <w:tcPr>
            <w:tcW w:w="2551" w:type="dxa"/>
            <w:vAlign w:val="center"/>
          </w:tcPr>
          <w:p>
            <w:pPr>
              <w:pStyle w:val="13"/>
            </w:pPr>
          </w:p>
        </w:tc>
        <w:tc>
          <w:tcPr>
            <w:tcW w:w="2551" w:type="dxa"/>
            <w:vAlign w:val="center"/>
          </w:tcPr>
          <w:p>
            <w:pPr>
              <w:pStyle w:val="13"/>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1.32</w:t>
            </w:r>
          </w:p>
        </w:tc>
        <w:tc>
          <w:tcPr>
            <w:tcW w:w="2551" w:type="dxa"/>
            <w:vAlign w:val="center"/>
          </w:tcPr>
          <w:p>
            <w:pPr>
              <w:pStyle w:val="13"/>
            </w:pPr>
            <w:r>
              <w:t>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1.32</w:t>
            </w:r>
          </w:p>
        </w:tc>
        <w:tc>
          <w:tcPr>
            <w:tcW w:w="2551" w:type="dxa"/>
            <w:vAlign w:val="center"/>
          </w:tcPr>
          <w:p>
            <w:pPr>
              <w:pStyle w:val="13"/>
            </w:pPr>
            <w:r>
              <w:t>1.32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211中共高阳县纪律检查委员会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19.33</w:t>
            </w:r>
          </w:p>
        </w:tc>
        <w:tc>
          <w:tcPr>
            <w:tcW w:w="2381" w:type="dxa"/>
            <w:vAlign w:val="center"/>
          </w:tcPr>
          <w:p>
            <w:pPr>
              <w:pStyle w:val="17"/>
            </w:pPr>
            <w:r>
              <w:t>19.33</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19.33</w:t>
            </w:r>
          </w:p>
        </w:tc>
        <w:tc>
          <w:tcPr>
            <w:tcW w:w="2381" w:type="dxa"/>
            <w:vAlign w:val="center"/>
          </w:tcPr>
          <w:p>
            <w:pPr>
              <w:pStyle w:val="13"/>
            </w:pPr>
            <w:r>
              <w:t>19.33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17.33</w:t>
            </w:r>
          </w:p>
        </w:tc>
        <w:tc>
          <w:tcPr>
            <w:tcW w:w="2381" w:type="dxa"/>
            <w:vAlign w:val="center"/>
          </w:tcPr>
          <w:p>
            <w:pPr>
              <w:pStyle w:val="13"/>
            </w:pPr>
            <w:r>
              <w:t>17.33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17.33</w:t>
            </w:r>
          </w:p>
        </w:tc>
        <w:tc>
          <w:tcPr>
            <w:tcW w:w="2381" w:type="dxa"/>
            <w:vAlign w:val="center"/>
          </w:tcPr>
          <w:p>
            <w:pPr>
              <w:pStyle w:val="13"/>
            </w:pPr>
            <w:r>
              <w:t>17.33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中共高阳县纪律检查委员会2022年部门预算信息公开情况说明</w:t>
      </w:r>
    </w:p>
    <w:p>
      <w:pPr>
        <w:jc w:val="center"/>
      </w:pPr>
      <w:r>
        <w:rPr>
          <w:rFonts w:ascii="方正小标宋_GBK" w:hAnsi="方正小标宋_GBK" w:eastAsia="方正小标宋_GBK" w:cs="方正小标宋_GBK"/>
          <w:color w:val="000000"/>
          <w:sz w:val="44"/>
        </w:rPr>
        <w:t>中共高阳县纪律检查委员会2022年部门预算信息公开情况说明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按照《预算法》、《地方预决算公开操作规程》和《关于进一步推进预算公开工作的实施意见》规定，现将中共高阳县纪律检查委员会2022年部门预算公开如下：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1、调查处理县政府各部门各乡镇及其工作人员违反国家政策、法规及违反政纪的行为；调查处理上级监察机关交办、指定的其他县的案件。</w:t>
      </w:r>
    </w:p>
    <w:p>
      <w:pPr>
        <w:pStyle w:val="19"/>
      </w:pPr>
      <w:r>
        <w:t>2、依法对县委管理行使公权力的公职人员进行监察，调查职务违法和职务犯罪，开展廉政建设和反腐败工作。</w:t>
      </w:r>
    </w:p>
    <w:p>
      <w:pPr>
        <w:pStyle w:val="19"/>
      </w:pPr>
      <w:r>
        <w:t>3、对全县党风廉政建设和反腐败工作作出部署，并对完成情况进行监督检查。</w:t>
      </w:r>
    </w:p>
    <w:p>
      <w:pPr>
        <w:pStyle w:val="19"/>
      </w:pPr>
      <w:r>
        <w:t>4、承担巡视巡察整改日常监督责任，做好巡视巡察整改督查督办工作，依规依纪依法处置巡视巡察移交的反映领导干部问题线索。</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中共高阳县纪律检查委员会（机关）</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lang w:val="uk-UA"/>
        </w:rPr>
      </w:pPr>
      <w:r>
        <w:rPr>
          <w:rFonts w:eastAsia="方正仿宋_GBK"/>
          <w:color w:val="000000"/>
          <w:sz w:val="28"/>
        </w:rPr>
        <w:t>按照预算管理有关规定，目前我省部门预算的编制实行综合预算管理，即全部收入和支出都反映在预算中。中共高阳县纪律检查委员会机关及所属事业单位的收支包含在部门预算中。</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机关运行经费164.84万元，其中：办公费32.58万元，水费2万元，电费18万元，邮电费25.39万元，办公取暖费5.49万元，公务接待费2万元，工会经费8.41万元，福利费4.45万元，公务用车17.33万元，公务交通补贴45.06万元，其他商品和服务支出4.13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2022年三公经费预算安排19.33万元，较去年21.47万元有所减少。其中，公务用车费用 17.33万元，较去年减少1.92万元；公务招待费2万元，较去年减少0.22万元。</w:t>
      </w:r>
    </w:p>
    <w:p>
      <w:pPr>
        <w:pStyle w:val="22"/>
      </w:pPr>
      <w:r>
        <w:t>“三公”经费增减变化原因：因公出国经费为0元，与上年持平，无增减变化。公务用车购置与运行维经费和公务接待费支出减少是因为厉行节约。</w:t>
      </w:r>
    </w:p>
    <w:p>
      <w:pPr>
        <w:pStyle w:val="22"/>
        <w:rPr>
          <w:lang w:val="uk-UA"/>
        </w:rPr>
      </w:pPr>
    </w:p>
    <w:p>
      <w:pPr>
        <w:pStyle w:val="22"/>
        <w:rPr>
          <w:lang w:val="uk-UA"/>
        </w:rPr>
      </w:pPr>
    </w:p>
    <w:p>
      <w:pPr>
        <w:pStyle w:val="22"/>
        <w:rPr>
          <w:lang w:val="uk-UA"/>
        </w:rPr>
      </w:pPr>
    </w:p>
    <w:p>
      <w:pPr>
        <w:pStyle w:val="22"/>
        <w:rPr>
          <w:lang w:val="uk-UA"/>
        </w:rPr>
      </w:pPr>
    </w:p>
    <w:p>
      <w:pPr>
        <w:pStyle w:val="22"/>
        <w:rPr>
          <w:lang w:val="uk-UA"/>
        </w:rPr>
      </w:pPr>
    </w:p>
    <w:p>
      <w:pPr>
        <w:pStyle w:val="22"/>
        <w:rPr>
          <w:lang w:val="uk-UA"/>
        </w:rPr>
      </w:pP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3"/>
      </w:pPr>
      <w:r>
        <w:t>受理信访、举报，集中管理问题线索、组织协调案件查办，调查、审查违纪违法案件，对案件审理提出处理意见。对有关对象违反党纪政纪和违纪违法行为进行处理；组织协调案件查办工作;承担县委反腐败协调小组办公室职能；承担县县监察局的行政复议、行政应诉及有关条规的起草工作。组织协调全县党风廉政建设和反腐败宣传、教育、课题研究等工作；承担县委惩治和预防腐败体系领导小组办公室的日常工作。监督检查党内法规政策、国家法律法规、党风廉政建设等的执行情况；履行县政府纠正行业不正之风办公室职能；贯彻落实县委有关部署，开展常态化全覆盖监督。</w:t>
      </w:r>
    </w:p>
    <w:p>
      <w:pPr>
        <w:spacing w:line="500" w:lineRule="exact"/>
        <w:ind w:firstLine="560"/>
      </w:pPr>
      <w:r>
        <w:rPr>
          <w:rFonts w:eastAsia="方正仿宋_GBK"/>
          <w:color w:val="000000"/>
          <w:sz w:val="28"/>
        </w:rPr>
        <w:t>（二）分项绩效目标</w:t>
      </w:r>
    </w:p>
    <w:p>
      <w:pPr>
        <w:pStyle w:val="24"/>
      </w:pPr>
      <w:r>
        <w:t>（一）贯彻落实党风廉政建设的决定，维护党的章程和其他党内法规</w:t>
      </w:r>
    </w:p>
    <w:p>
      <w:pPr>
        <w:pStyle w:val="24"/>
      </w:pPr>
      <w:r>
        <w:t>绩效目标：按照预算项目管理规定，规范、高效使用专项项目资金，确保纪律检查行政监察工作顺利进行。</w:t>
      </w:r>
    </w:p>
    <w:p>
      <w:pPr>
        <w:pStyle w:val="24"/>
      </w:pPr>
      <w:r>
        <w:t>绩效指标：有关行政监察工作决定落实率力争达到90%以上；有效降低党员干部违反党的章程和党内法规的行为发生率；</w:t>
      </w:r>
    </w:p>
    <w:p>
      <w:pPr>
        <w:pStyle w:val="24"/>
      </w:pPr>
      <w:r>
        <w:t>（二）维护宪法和法律法规；依法监察公职人员行使公权力的情况</w:t>
      </w:r>
    </w:p>
    <w:p>
      <w:pPr>
        <w:pStyle w:val="24"/>
      </w:pPr>
      <w:r>
        <w:t>绩效目标：维护党的纪律和行政纪律，教育党员干部，遏制腐败现象。</w:t>
      </w:r>
    </w:p>
    <w:p>
      <w:pPr>
        <w:pStyle w:val="24"/>
      </w:pPr>
      <w:r>
        <w:t>绩效指标：进一步降低腐败事件的发生概率。</w:t>
      </w:r>
    </w:p>
    <w:p>
      <w:pPr>
        <w:pStyle w:val="24"/>
      </w:pPr>
      <w:r>
        <w:t>（三）维护党的纪律和行政纪律，遏制腐败现象</w:t>
      </w:r>
    </w:p>
    <w:p>
      <w:pPr>
        <w:pStyle w:val="24"/>
      </w:pPr>
      <w:r>
        <w:t>绩效目标：按质按量完成案件查办工作。</w:t>
      </w:r>
    </w:p>
    <w:p>
      <w:pPr>
        <w:pStyle w:val="24"/>
      </w:pPr>
      <w:r>
        <w:t>绩效指标：案件查办率达到90%以上；</w:t>
      </w:r>
    </w:p>
    <w:p>
      <w:pPr>
        <w:pStyle w:val="24"/>
      </w:pPr>
      <w:r>
        <w:t>（四）聚焦党风廉政建设和反腐败斗争，维护党的纪律</w:t>
      </w:r>
    </w:p>
    <w:p>
      <w:pPr>
        <w:pStyle w:val="24"/>
      </w:pPr>
      <w:r>
        <w:t>绩效目标：完成上级巡视、巡察机构交办事项和本级县委巡察任务。</w:t>
      </w:r>
    </w:p>
    <w:p>
      <w:pPr>
        <w:pStyle w:val="24"/>
      </w:pPr>
      <w:r>
        <w:t>绩效指标：巡视工作完成率达到90%以上；</w:t>
      </w:r>
    </w:p>
    <w:p>
      <w:pPr>
        <w:spacing w:line="500" w:lineRule="exact"/>
        <w:ind w:firstLine="560"/>
      </w:pPr>
      <w:r>
        <w:rPr>
          <w:rFonts w:eastAsia="方正仿宋_GBK"/>
          <w:color w:val="000000"/>
          <w:sz w:val="28"/>
        </w:rPr>
        <w:t>（三）工作保障措施</w:t>
      </w:r>
    </w:p>
    <w:p>
      <w:pPr>
        <w:pStyle w:val="25"/>
      </w:pPr>
      <w:r>
        <w:t>(一)以政治建设为统领，筑牢思想基础。</w:t>
      </w:r>
    </w:p>
    <w:p>
      <w:pPr>
        <w:pStyle w:val="25"/>
      </w:pPr>
      <w:r>
        <w:t>(二)以自身建设为保障，推进体制改革。</w:t>
      </w:r>
    </w:p>
    <w:p>
      <w:pPr>
        <w:pStyle w:val="25"/>
      </w:pPr>
      <w:r>
        <w:t>(三)调整巡察机构，完善巡察工作。</w:t>
      </w:r>
    </w:p>
    <w:p>
      <w:pPr>
        <w:pStyle w:val="25"/>
      </w:pPr>
      <w:r>
        <w:t>(四)着力强化监督，压实“两个责任”。</w:t>
      </w:r>
    </w:p>
    <w:p>
      <w:pPr>
        <w:pStyle w:val="25"/>
      </w:pPr>
      <w:r>
        <w:t>(五)持续正风肃纪，巩固拓展落实八项规定精神成果。</w:t>
      </w:r>
    </w:p>
    <w:p>
      <w:pPr>
        <w:pStyle w:val="25"/>
      </w:pPr>
      <w:r>
        <w:t>(六)保持高压反腐，优化政治生态。</w:t>
      </w:r>
    </w:p>
    <w:p>
      <w:pPr>
        <w:pStyle w:val="25"/>
      </w:pPr>
      <w:r>
        <w:t>(七)深化整改“回头看”，着力解决群众身边的腐败和作风问题。</w:t>
      </w:r>
    </w:p>
    <w:p>
      <w:pPr>
        <w:pStyle w:val="25"/>
      </w:pPr>
      <w:r>
        <w:t>(八)组建专班，惩治涉黑涉恶腐败和“保护伞”工作。</w:t>
      </w:r>
    </w:p>
    <w:p>
      <w:pPr>
        <w:pStyle w:val="25"/>
      </w:pPr>
      <w:r>
        <w:t>(九)完善制度建设。包括制定完善预算绩效管理制度、资金管理办法、工作保障制度等，为全年预算绩效目标的实现奠定制度基础。</w:t>
      </w:r>
    </w:p>
    <w:p>
      <w:pPr>
        <w:pStyle w:val="25"/>
      </w:pPr>
      <w:r>
        <w:t>(十)加强支出管理。通过优化支出结构、编细编实预算、加快履行政府采购手续、尽快启动项目、及时支付资金、6月底前细化代编预算、按规定及时下达资金等多种措施，确保支出进度达标。</w:t>
      </w:r>
    </w:p>
    <w:p>
      <w:pPr>
        <w:pStyle w:val="25"/>
      </w:pPr>
      <w:r>
        <w:t>(十一)加强绩效运行监控。按要求开展绩效运行监控，发现问题及时采取措施，确保绩效目标如期保质实现。</w:t>
      </w:r>
    </w:p>
    <w:p>
      <w:pPr>
        <w:pStyle w:val="25"/>
      </w:pPr>
      <w:r>
        <w:t>(十二)做好绩效自评。按要求开展上年度部门预算绩效自评和重点评价工作，对评价中发现的问题及时整改，调整优化支出结构，提高财政资金使用效益。</w:t>
      </w:r>
    </w:p>
    <w:p>
      <w:pPr>
        <w:pStyle w:val="25"/>
      </w:pPr>
      <w:r>
        <w:t>(十三)规范财务资产管理。完善财务管理制度，严格审批程序，加强固定资产登记、使用和报废处置管理，做到支出合理，物尽其用。</w:t>
      </w:r>
    </w:p>
    <w:p>
      <w:pPr>
        <w:pStyle w:val="25"/>
      </w:pPr>
      <w:r>
        <w:t>(十四)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十五)加强宣传培训调研等。加强人员培训，提高本部门职工业务素质；加强调研，提出优化财政资金配置、提高资金使用效益的意见意见；加大宣传力度，强化预算绩效管理意识，促进预算绩效管理水平进一步提升。</w:t>
      </w:r>
    </w:p>
    <w:p>
      <w:pPr>
        <w:ind w:firstLine="640"/>
      </w:pPr>
      <w:r>
        <w:rPr>
          <w:rFonts w:ascii="方正楷体_GBK" w:hAnsi="方正楷体_GBK" w:eastAsia="方正楷体_GBK" w:cs="方正楷体_GBK"/>
          <w:b/>
          <w:color w:val="000000"/>
          <w:sz w:val="32"/>
        </w:rPr>
        <w:t>第二部分  专项资金绩效目标</w:t>
      </w:r>
    </w:p>
    <w:p>
      <w:pPr>
        <w:pStyle w:val="26"/>
        <w:ind w:firstLine="640"/>
      </w:pPr>
      <w:r>
        <w:rPr>
          <w:rFonts w:ascii="方正楷体_GBK" w:hAnsi="方正楷体_GBK" w:eastAsia="方正楷体_GBK" w:cs="方正楷体_GBK"/>
          <w:b/>
          <w:color w:val="000000"/>
          <w:sz w:val="32"/>
        </w:rPr>
        <w:t>第三部分  预算项目绩效目标</w:t>
      </w:r>
    </w:p>
    <w:p>
      <w:pPr>
        <w:pStyle w:val="26"/>
        <w:ind w:firstLine="560"/>
      </w:pPr>
      <w:r>
        <w:rPr>
          <w:rFonts w:ascii="方正仿宋_GBK" w:hAnsi="方正仿宋_GBK" w:eastAsia="方正仿宋_GBK" w:cs="方正仿宋_GBK"/>
          <w:b/>
          <w:color w:val="000000"/>
          <w:sz w:val="28"/>
        </w:rPr>
        <w:t>1、纪检监察辅助办案工作经费（劳务派遣）绩效目标表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1.协助案件办理,保障办案顺利</w:t>
            </w:r>
          </w:p>
          <w:p>
            <w:pPr>
              <w:pStyle w:val="28"/>
            </w:pPr>
            <w:r>
              <w:t>2.完成领导交办的其他任务</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保障待遇人数</w:t>
            </w:r>
          </w:p>
        </w:tc>
        <w:tc>
          <w:tcPr>
            <w:tcW w:w="2835" w:type="dxa"/>
            <w:vAlign w:val="center"/>
          </w:tcPr>
          <w:p>
            <w:pPr>
              <w:pStyle w:val="28"/>
            </w:pPr>
            <w:r>
              <w:t>保障工资待遇的人数</w:t>
            </w:r>
          </w:p>
        </w:tc>
        <w:tc>
          <w:tcPr>
            <w:tcW w:w="2551" w:type="dxa"/>
            <w:vAlign w:val="center"/>
          </w:tcPr>
          <w:p>
            <w:pPr>
              <w:pStyle w:val="28"/>
            </w:pPr>
            <w:r>
              <w:t>10名</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各项保障工作完成率</w:t>
            </w:r>
          </w:p>
        </w:tc>
        <w:tc>
          <w:tcPr>
            <w:tcW w:w="2835" w:type="dxa"/>
            <w:vAlign w:val="center"/>
          </w:tcPr>
          <w:p>
            <w:pPr>
              <w:pStyle w:val="28"/>
            </w:pPr>
            <w:r>
              <w:t>各项后勤保障工作完成情况占各项后勤保障工作任务的比例</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实际支出金额占预算金额的比例</w:t>
            </w:r>
          </w:p>
        </w:tc>
        <w:tc>
          <w:tcPr>
            <w:tcW w:w="2551" w:type="dxa"/>
            <w:vAlign w:val="center"/>
          </w:tcPr>
          <w:p>
            <w:pPr>
              <w:pStyle w:val="28"/>
            </w:pPr>
            <w:r>
              <w:t>&lt;100%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经济效益指标</w:t>
            </w:r>
          </w:p>
        </w:tc>
        <w:tc>
          <w:tcPr>
            <w:tcW w:w="2835" w:type="dxa"/>
            <w:vAlign w:val="center"/>
          </w:tcPr>
          <w:p>
            <w:pPr>
              <w:pStyle w:val="28"/>
            </w:pPr>
            <w:r>
              <w:t>辅助案件结案率</w:t>
            </w:r>
          </w:p>
        </w:tc>
        <w:tc>
          <w:tcPr>
            <w:tcW w:w="2835" w:type="dxa"/>
            <w:vAlign w:val="center"/>
          </w:tcPr>
          <w:p>
            <w:pPr>
              <w:pStyle w:val="28"/>
            </w:pPr>
            <w:r>
              <w:t>处置问题线索数占全部结案问题线索的比率</w:t>
            </w:r>
          </w:p>
        </w:tc>
        <w:tc>
          <w:tcPr>
            <w:tcW w:w="2551" w:type="dxa"/>
            <w:vAlign w:val="center"/>
          </w:tcPr>
          <w:p>
            <w:pPr>
              <w:pStyle w:val="28"/>
            </w:pPr>
            <w:r>
              <w:t>≥90%</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2、纪检监察业务经费绩效目标表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1.贯彻落实党风廉政建设的决定，维护党的章程和其他党内法规。</w:t>
            </w:r>
          </w:p>
          <w:p>
            <w:pPr>
              <w:pStyle w:val="28"/>
            </w:pPr>
            <w:r>
              <w:t>2.贯彻落实上级纪委及</w:t>
            </w:r>
            <w:r>
              <w:rPr>
                <w:rFonts w:hint="eastAsia"/>
                <w:lang w:eastAsia="zh-CN"/>
              </w:rPr>
              <w:t>县委、县政府</w:t>
            </w:r>
            <w:r>
              <w:t>交办的临时性工作。</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案件结案率(%)</w:t>
            </w:r>
          </w:p>
        </w:tc>
        <w:tc>
          <w:tcPr>
            <w:tcW w:w="2835" w:type="dxa"/>
            <w:vAlign w:val="center"/>
          </w:tcPr>
          <w:p>
            <w:pPr>
              <w:pStyle w:val="28"/>
            </w:pPr>
            <w:r>
              <w:t>案件结案率(%)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举报线索处置率</w:t>
            </w:r>
          </w:p>
        </w:tc>
        <w:tc>
          <w:tcPr>
            <w:tcW w:w="2835" w:type="dxa"/>
            <w:vAlign w:val="center"/>
          </w:tcPr>
          <w:p>
            <w:pPr>
              <w:pStyle w:val="28"/>
            </w:pPr>
            <w:r>
              <w:t>处置举报线索占全部举报线索的比率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案件、资料上报及时情况</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实际支出金额占预算金额的比例</w:t>
            </w:r>
          </w:p>
        </w:tc>
        <w:tc>
          <w:tcPr>
            <w:tcW w:w="2551" w:type="dxa"/>
            <w:vAlign w:val="center"/>
          </w:tcPr>
          <w:p>
            <w:pPr>
              <w:pStyle w:val="28"/>
            </w:pPr>
            <w:r>
              <w: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影响力</w:t>
            </w:r>
          </w:p>
        </w:tc>
        <w:tc>
          <w:tcPr>
            <w:tcW w:w="2835" w:type="dxa"/>
            <w:vAlign w:val="center"/>
          </w:tcPr>
          <w:p>
            <w:pPr>
              <w:pStyle w:val="28"/>
            </w:pPr>
            <w:r>
              <w:t>廉政建设和反腐败效果</w:t>
            </w:r>
          </w:p>
        </w:tc>
        <w:tc>
          <w:tcPr>
            <w:tcW w:w="2551" w:type="dxa"/>
            <w:vAlign w:val="center"/>
          </w:tcPr>
          <w:p>
            <w:pPr>
              <w:pStyle w:val="28"/>
            </w:pPr>
            <w:r>
              <w:t>≥90%</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3、纪检委大案要案经费绩效目标表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1.目标内容1按质按量完成案件查办工作。</w:t>
            </w:r>
          </w:p>
          <w:p>
            <w:pPr>
              <w:pStyle w:val="28"/>
            </w:pPr>
            <w:r>
              <w:t>2.目标内容2调查处理上级检察机关交办、指定的其他县的案件。</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案件结案率(%)</w:t>
            </w:r>
          </w:p>
        </w:tc>
        <w:tc>
          <w:tcPr>
            <w:tcW w:w="2835" w:type="dxa"/>
            <w:vAlign w:val="center"/>
          </w:tcPr>
          <w:p>
            <w:pPr>
              <w:pStyle w:val="28"/>
            </w:pPr>
            <w:r>
              <w:t>处置问题线索数占全部结案问题线索的比率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查办大案要案比率(%)</w:t>
            </w:r>
          </w:p>
        </w:tc>
        <w:tc>
          <w:tcPr>
            <w:tcW w:w="2835" w:type="dxa"/>
            <w:vAlign w:val="center"/>
          </w:tcPr>
          <w:p>
            <w:pPr>
              <w:pStyle w:val="28"/>
            </w:pPr>
            <w:r>
              <w:t>查办的重特大案件、要案占同期立案案件的比率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案件、资料上报及时率</w:t>
            </w:r>
          </w:p>
        </w:tc>
        <w:tc>
          <w:tcPr>
            <w:tcW w:w="2835" w:type="dxa"/>
            <w:vAlign w:val="center"/>
          </w:tcPr>
          <w:p>
            <w:pPr>
              <w:pStyle w:val="28"/>
            </w:pPr>
            <w:r>
              <w:t>案件、资料上报及时率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实际支出金额占预算金额的比例</w:t>
            </w:r>
          </w:p>
        </w:tc>
        <w:tc>
          <w:tcPr>
            <w:tcW w:w="2551" w:type="dxa"/>
            <w:vAlign w:val="center"/>
          </w:tcPr>
          <w:p>
            <w:pPr>
              <w:pStyle w:val="28"/>
            </w:pPr>
            <w:r>
              <w: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影响力</w:t>
            </w:r>
          </w:p>
        </w:tc>
        <w:tc>
          <w:tcPr>
            <w:tcW w:w="2835" w:type="dxa"/>
            <w:vAlign w:val="center"/>
          </w:tcPr>
          <w:p>
            <w:pPr>
              <w:pStyle w:val="28"/>
            </w:pPr>
            <w:r>
              <w:t>廉政建设和反腐败效果</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处理问题线索结果及效果满意度</w:t>
            </w:r>
          </w:p>
        </w:tc>
        <w:tc>
          <w:tcPr>
            <w:tcW w:w="2551" w:type="dxa"/>
            <w:vAlign w:val="center"/>
          </w:tcPr>
          <w:p>
            <w:pPr>
              <w:pStyle w:val="28"/>
            </w:pPr>
            <w:r>
              <w:t>≥90%</w:t>
            </w:r>
          </w:p>
        </w:tc>
        <w:tc>
          <w:tcPr>
            <w:tcW w:w="2268" w:type="dxa"/>
            <w:vAlign w:val="center"/>
          </w:tcPr>
          <w:p>
            <w:pPr>
              <w:pStyle w:val="28"/>
            </w:pPr>
            <w:r>
              <w:t>群众回访意见</w:t>
            </w:r>
          </w:p>
        </w:tc>
      </w:tr>
    </w:tbl>
    <w:p>
      <w:pPr>
        <w:pStyle w:val="26"/>
      </w:pPr>
    </w:p>
    <w:p>
      <w:pPr>
        <w:pStyle w:val="26"/>
        <w:ind w:firstLine="560"/>
      </w:pPr>
      <w:r>
        <w:rPr>
          <w:rFonts w:ascii="方正仿宋_GBK" w:hAnsi="方正仿宋_GBK" w:eastAsia="方正仿宋_GBK" w:cs="方正仿宋_GBK"/>
          <w:b/>
          <w:color w:val="000000"/>
          <w:sz w:val="28"/>
        </w:rPr>
        <w:t>4、纪检委巡察工作专项经费绩效目标表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1.聚焦党风廉政建设和反腐败斗争，维护党的纪律</w:t>
            </w:r>
          </w:p>
          <w:p>
            <w:pPr>
              <w:pStyle w:val="28"/>
            </w:pPr>
            <w:r>
              <w:t>2.着力发现问题，形成震慑，确保党的路线、方针、政策的贯彻执行</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巡察次数</w:t>
            </w:r>
          </w:p>
        </w:tc>
        <w:tc>
          <w:tcPr>
            <w:tcW w:w="2835" w:type="dxa"/>
            <w:vAlign w:val="center"/>
          </w:tcPr>
          <w:p>
            <w:pPr>
              <w:pStyle w:val="28"/>
            </w:pPr>
            <w:r>
              <w:t>组织开展本县巡察的次数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巡察覆盖率</w:t>
            </w:r>
          </w:p>
        </w:tc>
        <w:tc>
          <w:tcPr>
            <w:tcW w:w="2835" w:type="dxa"/>
            <w:vAlign w:val="center"/>
          </w:tcPr>
          <w:p>
            <w:pPr>
              <w:pStyle w:val="28"/>
            </w:pPr>
            <w:r>
              <w:t>实际开展巡察的对象数量占应巡察对象总数的比率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工作任务完成及时率</w:t>
            </w:r>
          </w:p>
        </w:tc>
        <w:tc>
          <w:tcPr>
            <w:tcW w:w="2835" w:type="dxa"/>
            <w:vAlign w:val="center"/>
          </w:tcPr>
          <w:p>
            <w:pPr>
              <w:pStyle w:val="28"/>
            </w:pPr>
            <w:r>
              <w:t>反映工作任务完成是否及时</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实际支出金额占预算金额的比例</w:t>
            </w:r>
          </w:p>
        </w:tc>
        <w:tc>
          <w:tcPr>
            <w:tcW w:w="2551" w:type="dxa"/>
            <w:vAlign w:val="center"/>
          </w:tcPr>
          <w:p>
            <w:pPr>
              <w:pStyle w:val="28"/>
            </w:pPr>
            <w:r>
              <w: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完成率</w:t>
            </w:r>
          </w:p>
        </w:tc>
        <w:tc>
          <w:tcPr>
            <w:tcW w:w="2835" w:type="dxa"/>
            <w:vAlign w:val="center"/>
          </w:tcPr>
          <w:p>
            <w:pPr>
              <w:pStyle w:val="28"/>
            </w:pPr>
            <w:r>
              <w:t>巡视巡察监督整改完成情况</w:t>
            </w:r>
          </w:p>
        </w:tc>
        <w:tc>
          <w:tcPr>
            <w:tcW w:w="2551" w:type="dxa"/>
            <w:vAlign w:val="center"/>
          </w:tcPr>
          <w:p>
            <w:pPr>
              <w:pStyle w:val="28"/>
            </w:pPr>
            <w:r>
              <w:t>≥90%</w:t>
            </w:r>
          </w:p>
        </w:tc>
        <w:tc>
          <w:tcPr>
            <w:tcW w:w="2268" w:type="dxa"/>
            <w:vAlign w:val="center"/>
          </w:tcPr>
          <w:p>
            <w:pPr>
              <w:pStyle w:val="28"/>
            </w:pPr>
            <w:r>
              <w:t>年度工作计划</w:t>
            </w:r>
          </w:p>
        </w:tc>
      </w:tr>
    </w:tbl>
    <w:p>
      <w:pPr>
        <w:pStyle w:val="26"/>
      </w:pPr>
    </w:p>
    <w:p>
      <w:pPr>
        <w:pStyle w:val="26"/>
        <w:ind w:firstLine="560"/>
      </w:pPr>
      <w:r>
        <w:rPr>
          <w:rFonts w:ascii="方正仿宋_GBK" w:hAnsi="方正仿宋_GBK" w:eastAsia="方正仿宋_GBK" w:cs="方正仿宋_GBK"/>
          <w:b/>
          <w:color w:val="000000"/>
          <w:sz w:val="28"/>
        </w:rPr>
        <w:t>5、监察委工作经费绩效目标表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1.完成上级巡视、巡察机构交办事项和本级县委巡察任务。</w:t>
            </w:r>
          </w:p>
          <w:p>
            <w:pPr>
              <w:pStyle w:val="28"/>
            </w:pPr>
            <w:r>
              <w:t>2.调查职务违法和职务犯罪，营造风清气正的队伍。</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贪污贿赂犯罪和渎职侵权案件查办率</w:t>
            </w:r>
          </w:p>
        </w:tc>
        <w:tc>
          <w:tcPr>
            <w:tcW w:w="2835" w:type="dxa"/>
            <w:vAlign w:val="center"/>
          </w:tcPr>
          <w:p>
            <w:pPr>
              <w:pStyle w:val="28"/>
            </w:pPr>
            <w:r>
              <w:t>查办的贪污贿赂犯罪和渎职侵权案件数占办案预警线的比率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职务犯罪案件侦结率(%)</w:t>
            </w:r>
          </w:p>
        </w:tc>
        <w:tc>
          <w:tcPr>
            <w:tcW w:w="2835" w:type="dxa"/>
            <w:vAlign w:val="center"/>
          </w:tcPr>
          <w:p>
            <w:pPr>
              <w:pStyle w:val="28"/>
            </w:pPr>
            <w:r>
              <w:t>职务犯罪案件侦结率(%)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问题处置率</w:t>
            </w:r>
          </w:p>
        </w:tc>
        <w:tc>
          <w:tcPr>
            <w:tcW w:w="2835" w:type="dxa"/>
            <w:vAlign w:val="center"/>
          </w:tcPr>
          <w:p>
            <w:pPr>
              <w:pStyle w:val="28"/>
            </w:pPr>
            <w:r>
              <w:t>已处置问题数量占发现问题总数的比率</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成本控制率(%)</w:t>
            </w:r>
          </w:p>
        </w:tc>
        <w:tc>
          <w:tcPr>
            <w:tcW w:w="2835" w:type="dxa"/>
            <w:vAlign w:val="center"/>
          </w:tcPr>
          <w:p>
            <w:pPr>
              <w:pStyle w:val="28"/>
            </w:pPr>
            <w:r>
              <w:t>实际支出金额占预算金额的比例</w:t>
            </w:r>
          </w:p>
        </w:tc>
        <w:tc>
          <w:tcPr>
            <w:tcW w:w="2551" w:type="dxa"/>
            <w:vAlign w:val="center"/>
          </w:tcPr>
          <w:p>
            <w:pPr>
              <w:pStyle w:val="28"/>
            </w:pPr>
            <w:r>
              <w: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社会效益指标</w:t>
            </w:r>
          </w:p>
        </w:tc>
        <w:tc>
          <w:tcPr>
            <w:tcW w:w="2835" w:type="dxa"/>
            <w:vAlign w:val="center"/>
          </w:tcPr>
          <w:p>
            <w:pPr>
              <w:pStyle w:val="28"/>
            </w:pPr>
            <w:r>
              <w:t>影响力</w:t>
            </w:r>
          </w:p>
        </w:tc>
        <w:tc>
          <w:tcPr>
            <w:tcW w:w="2835" w:type="dxa"/>
            <w:vAlign w:val="center"/>
          </w:tcPr>
          <w:p>
            <w:pPr>
              <w:pStyle w:val="28"/>
            </w:pPr>
            <w:r>
              <w:t>廉政建设和反腐败效果</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满意度指标</w:t>
            </w:r>
          </w:p>
        </w:tc>
        <w:tc>
          <w:tcPr>
            <w:tcW w:w="2268" w:type="dxa"/>
            <w:vAlign w:val="center"/>
          </w:tcPr>
          <w:p>
            <w:pPr>
              <w:pStyle w:val="28"/>
            </w:pPr>
            <w:r>
              <w:t>服务对象满意度指标</w:t>
            </w:r>
          </w:p>
        </w:tc>
        <w:tc>
          <w:tcPr>
            <w:tcW w:w="2835" w:type="dxa"/>
            <w:vAlign w:val="center"/>
          </w:tcPr>
          <w:p>
            <w:pPr>
              <w:pStyle w:val="28"/>
            </w:pPr>
            <w:r>
              <w:t>群众满意度</w:t>
            </w:r>
          </w:p>
        </w:tc>
        <w:tc>
          <w:tcPr>
            <w:tcW w:w="2835" w:type="dxa"/>
            <w:vAlign w:val="center"/>
          </w:tcPr>
          <w:p>
            <w:pPr>
              <w:pStyle w:val="28"/>
            </w:pPr>
            <w:r>
              <w:t>处理问题线索结果及效果满意度</w:t>
            </w:r>
          </w:p>
        </w:tc>
        <w:tc>
          <w:tcPr>
            <w:tcW w:w="2551" w:type="dxa"/>
            <w:vAlign w:val="center"/>
          </w:tcPr>
          <w:p>
            <w:pPr>
              <w:pStyle w:val="28"/>
            </w:pPr>
            <w:r>
              <w:t>≥90%</w:t>
            </w:r>
          </w:p>
        </w:tc>
        <w:tc>
          <w:tcPr>
            <w:tcW w:w="2268" w:type="dxa"/>
            <w:vAlign w:val="center"/>
          </w:tcPr>
          <w:p>
            <w:pPr>
              <w:pStyle w:val="28"/>
            </w:pPr>
            <w:r>
              <w:t>群众回访意见</w:t>
            </w:r>
          </w:p>
        </w:tc>
      </w:tr>
    </w:tbl>
    <w:p>
      <w:pPr>
        <w:pStyle w:val="26"/>
      </w:pPr>
    </w:p>
    <w:p>
      <w:pPr>
        <w:pStyle w:val="26"/>
        <w:ind w:firstLine="560"/>
      </w:pPr>
      <w:r>
        <w:rPr>
          <w:rFonts w:ascii="方正仿宋_GBK" w:hAnsi="方正仿宋_GBK" w:eastAsia="方正仿宋_GBK" w:cs="方正仿宋_GBK"/>
          <w:b/>
          <w:color w:val="000000"/>
          <w:sz w:val="28"/>
        </w:rPr>
        <w:t>6、信息化建设经费绩效目标表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8"/>
            </w:pPr>
            <w:r>
              <w:t>1.提高工作保密性</w:t>
            </w:r>
          </w:p>
          <w:p>
            <w:pPr>
              <w:pStyle w:val="28"/>
            </w:pPr>
            <w:r>
              <w:t>2.保障工作顺利开展</w:t>
            </w:r>
          </w:p>
        </w:tc>
      </w:tr>
    </w:tbl>
    <w:p>
      <w:pPr>
        <w:pStyle w:val="26"/>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pPr>
            <w:r>
              <w:t>产出指标</w:t>
            </w:r>
          </w:p>
        </w:tc>
        <w:tc>
          <w:tcPr>
            <w:tcW w:w="2268" w:type="dxa"/>
            <w:vAlign w:val="center"/>
          </w:tcPr>
          <w:p>
            <w:pPr>
              <w:pStyle w:val="28"/>
            </w:pPr>
            <w:r>
              <w:t>数量指标</w:t>
            </w:r>
          </w:p>
        </w:tc>
        <w:tc>
          <w:tcPr>
            <w:tcW w:w="2835" w:type="dxa"/>
            <w:vAlign w:val="center"/>
          </w:tcPr>
          <w:p>
            <w:pPr>
              <w:pStyle w:val="28"/>
            </w:pPr>
            <w:r>
              <w:t>培训特种设备相关使用、管理人员次数</w:t>
            </w:r>
          </w:p>
        </w:tc>
        <w:tc>
          <w:tcPr>
            <w:tcW w:w="2835" w:type="dxa"/>
            <w:vAlign w:val="center"/>
          </w:tcPr>
          <w:p>
            <w:pPr>
              <w:pStyle w:val="28"/>
            </w:pPr>
            <w:r>
              <w:t>培训特种设备相关使用、管理人员次数</w:t>
            </w:r>
          </w:p>
        </w:tc>
        <w:tc>
          <w:tcPr>
            <w:tcW w:w="2551" w:type="dxa"/>
            <w:vAlign w:val="center"/>
          </w:tcPr>
          <w:p>
            <w:pPr>
              <w:pStyle w:val="28"/>
            </w:pPr>
            <w:r>
              <w:t>≥3次</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数量指标</w:t>
            </w:r>
          </w:p>
        </w:tc>
        <w:tc>
          <w:tcPr>
            <w:tcW w:w="2835" w:type="dxa"/>
            <w:vAlign w:val="center"/>
          </w:tcPr>
          <w:p>
            <w:pPr>
              <w:pStyle w:val="28"/>
            </w:pPr>
            <w:r>
              <w:t>内网密码机购置数量</w:t>
            </w:r>
          </w:p>
        </w:tc>
        <w:tc>
          <w:tcPr>
            <w:tcW w:w="2835" w:type="dxa"/>
            <w:vAlign w:val="center"/>
          </w:tcPr>
          <w:p>
            <w:pPr>
              <w:pStyle w:val="28"/>
            </w:pPr>
            <w:r>
              <w:t>购置内网特种设备</w:t>
            </w:r>
          </w:p>
        </w:tc>
        <w:tc>
          <w:tcPr>
            <w:tcW w:w="2551" w:type="dxa"/>
            <w:vAlign w:val="center"/>
          </w:tcPr>
          <w:p>
            <w:pPr>
              <w:pStyle w:val="28"/>
            </w:pPr>
            <w:r>
              <w:t>2套</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质量指标</w:t>
            </w:r>
          </w:p>
        </w:tc>
        <w:tc>
          <w:tcPr>
            <w:tcW w:w="2835" w:type="dxa"/>
            <w:vAlign w:val="center"/>
          </w:tcPr>
          <w:p>
            <w:pPr>
              <w:pStyle w:val="28"/>
            </w:pPr>
            <w:r>
              <w:t>保密性提高率</w:t>
            </w:r>
          </w:p>
        </w:tc>
        <w:tc>
          <w:tcPr>
            <w:tcW w:w="2835" w:type="dxa"/>
            <w:vAlign w:val="center"/>
          </w:tcPr>
          <w:p>
            <w:pPr>
              <w:pStyle w:val="28"/>
            </w:pPr>
            <w:r>
              <w:t>提高工作保密程度较购置前提高的比例</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时效指标</w:t>
            </w:r>
          </w:p>
        </w:tc>
        <w:tc>
          <w:tcPr>
            <w:tcW w:w="2835" w:type="dxa"/>
            <w:vAlign w:val="center"/>
          </w:tcPr>
          <w:p>
            <w:pPr>
              <w:pStyle w:val="28"/>
            </w:pPr>
            <w:r>
              <w:t>各项任务完成及时率</w:t>
            </w:r>
          </w:p>
        </w:tc>
        <w:tc>
          <w:tcPr>
            <w:tcW w:w="2835" w:type="dxa"/>
            <w:vAlign w:val="center"/>
          </w:tcPr>
          <w:p>
            <w:pPr>
              <w:pStyle w:val="28"/>
            </w:pPr>
            <w:r>
              <w:t>各项任务完成及时情况</w:t>
            </w:r>
          </w:p>
        </w:tc>
        <w:tc>
          <w:tcPr>
            <w:tcW w:w="2551" w:type="dxa"/>
            <w:vAlign w:val="center"/>
          </w:tcPr>
          <w:p>
            <w:pPr>
              <w:pStyle w:val="28"/>
            </w:pPr>
            <w:r>
              <w:t>≥90%</w:t>
            </w:r>
          </w:p>
        </w:tc>
        <w:tc>
          <w:tcPr>
            <w:tcW w:w="2268" w:type="dxa"/>
            <w:vAlign w:val="center"/>
          </w:tcPr>
          <w:p>
            <w:pPr>
              <w:pStyle w:val="2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pPr>
            <w:r>
              <w:t>成本指标</w:t>
            </w:r>
          </w:p>
        </w:tc>
        <w:tc>
          <w:tcPr>
            <w:tcW w:w="2835" w:type="dxa"/>
            <w:vAlign w:val="center"/>
          </w:tcPr>
          <w:p>
            <w:pPr>
              <w:pStyle w:val="28"/>
            </w:pPr>
            <w:r>
              <w:t>实际支出金额占预算金额的比例</w:t>
            </w:r>
          </w:p>
        </w:tc>
        <w:tc>
          <w:tcPr>
            <w:tcW w:w="2835" w:type="dxa"/>
            <w:vAlign w:val="center"/>
          </w:tcPr>
          <w:p>
            <w:pPr>
              <w:pStyle w:val="28"/>
            </w:pPr>
            <w:r>
              <w:t>实际支出金额占预算金额的比例</w:t>
            </w:r>
          </w:p>
        </w:tc>
        <w:tc>
          <w:tcPr>
            <w:tcW w:w="2551" w:type="dxa"/>
            <w:vAlign w:val="center"/>
          </w:tcPr>
          <w:p>
            <w:pPr>
              <w:pStyle w:val="28"/>
            </w:pPr>
            <w:r>
              <w:t>≤100%</w:t>
            </w:r>
          </w:p>
        </w:tc>
        <w:tc>
          <w:tcPr>
            <w:tcW w:w="2268" w:type="dxa"/>
            <w:vAlign w:val="center"/>
          </w:tcPr>
          <w:p>
            <w:pPr>
              <w:pStyle w:val="28"/>
            </w:pPr>
            <w:r>
              <w:t>支付凭证及预算文本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pPr>
            <w:r>
              <w:t>效益指标</w:t>
            </w:r>
          </w:p>
        </w:tc>
        <w:tc>
          <w:tcPr>
            <w:tcW w:w="2268" w:type="dxa"/>
            <w:vAlign w:val="center"/>
          </w:tcPr>
          <w:p>
            <w:pPr>
              <w:pStyle w:val="28"/>
            </w:pPr>
            <w:r>
              <w:t>可持续影响指标</w:t>
            </w:r>
          </w:p>
        </w:tc>
        <w:tc>
          <w:tcPr>
            <w:tcW w:w="2835" w:type="dxa"/>
            <w:vAlign w:val="center"/>
          </w:tcPr>
          <w:p>
            <w:pPr>
              <w:pStyle w:val="28"/>
            </w:pPr>
            <w:r>
              <w:t>设备购置类项目持续使用时间</w:t>
            </w:r>
          </w:p>
        </w:tc>
        <w:tc>
          <w:tcPr>
            <w:tcW w:w="2835" w:type="dxa"/>
            <w:vAlign w:val="center"/>
          </w:tcPr>
          <w:p>
            <w:pPr>
              <w:pStyle w:val="28"/>
            </w:pPr>
            <w:r>
              <w:t>设备购置类项目持续使用时间</w:t>
            </w:r>
          </w:p>
        </w:tc>
        <w:tc>
          <w:tcPr>
            <w:tcW w:w="2551" w:type="dxa"/>
            <w:vAlign w:val="center"/>
          </w:tcPr>
          <w:p>
            <w:pPr>
              <w:pStyle w:val="28"/>
            </w:pPr>
            <w:r>
              <w:t>≥2年</w:t>
            </w:r>
          </w:p>
        </w:tc>
        <w:tc>
          <w:tcPr>
            <w:tcW w:w="2268" w:type="dxa"/>
            <w:vAlign w:val="center"/>
          </w:tcPr>
          <w:p>
            <w:pPr>
              <w:pStyle w:val="28"/>
            </w:pPr>
            <w:r>
              <w:t>设备使用情况</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2022年，中共高阳县纪律检查委员会安排政府采购预算0.00万元。具体内容见下表。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211中共高阳县纪律检查委员会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中共高阳县纪律检查委员会（含所属单位）上年末固定资产金额为395.77万元（详见下表）。本年度拟购置固定资产总额为0.00万元。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211中共高阳县纪律检查委员会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345.38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NjZkOGM3MDE1YmJkMjQwYWE2ODYzZjM5ZTZiNTQifQ=="/>
  </w:docVars>
  <w:rsids>
    <w:rsidRoot w:val="00397F0D"/>
    <w:rsid w:val="00397F0D"/>
    <w:rsid w:val="00955725"/>
    <w:rsid w:val="00975EAF"/>
    <w:rsid w:val="00AA2E88"/>
    <w:rsid w:val="00CD6C2F"/>
    <w:rsid w:val="00FB10A1"/>
    <w:rsid w:val="043A458A"/>
    <w:rsid w:val="0D051A5A"/>
    <w:rsid w:val="2AEF5189"/>
    <w:rsid w:val="6CAA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Normal_bc2b42cb-cd2d-4bc6-bf13-f43d7014d8ca"/>
    <w:qFormat/>
    <w:uiPriority w:val="0"/>
    <w:rPr>
      <w:rFonts w:ascii="Times New Roman" w:hAnsi="Times New Roman" w:eastAsia="Times New Roman" w:cs="Times New Roman"/>
      <w:sz w:val="24"/>
      <w:szCs w:val="24"/>
      <w:lang w:val="en-US" w:eastAsia="uk-UA" w:bidi="ar-SA"/>
    </w:rPr>
  </w:style>
  <w:style w:type="paragraph" w:customStyle="1" w:styleId="27">
    <w:name w:val="单元格样式1_34ce6415-8803-4d8c-ac08-5c9cc6d36d3a"/>
    <w:basedOn w:val="1"/>
    <w:qFormat/>
    <w:uiPriority w:val="0"/>
    <w:pPr>
      <w:jc w:val="center"/>
    </w:pPr>
    <w:rPr>
      <w:rFonts w:ascii="方正书宋_GBK" w:hAnsi="方正书宋_GBK" w:eastAsia="方正书宋_GBK" w:cs="方正书宋_GBK"/>
      <w:b/>
      <w:sz w:val="21"/>
    </w:rPr>
  </w:style>
  <w:style w:type="paragraph" w:customStyle="1" w:styleId="28">
    <w:name w:val="单元格样式2_af24974b-3a75-4a85-9800-758380f0399c"/>
    <w:basedOn w:val="1"/>
    <w:qFormat/>
    <w:uiPriority w:val="0"/>
    <w:rPr>
      <w:rFonts w:ascii="方正书宋_GBK" w:hAnsi="方正书宋_GBK" w:eastAsia="方正书宋_GBK" w:cs="方正书宋_GBK"/>
      <w:sz w:val="21"/>
    </w:rPr>
  </w:style>
  <w:style w:type="paragraph" w:customStyle="1" w:styleId="29">
    <w:name w:val="单元格样式3_78dbb463-6a52-4089-a543-78b3f9f261a2"/>
    <w:basedOn w:val="1"/>
    <w:qFormat/>
    <w:uiPriority w:val="0"/>
    <w:pPr>
      <w:jc w:val="center"/>
    </w:pPr>
    <w:rPr>
      <w:rFonts w:ascii="方正书宋_GBK" w:hAnsi="方正书宋_GBK" w:eastAsia="方正书宋_GBK" w:cs="方正书宋_GBK"/>
      <w:sz w:val="21"/>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2022-02-16T16:53:52Z</dcterms:created>
  <dcterms:modified xsi:type="dcterms:W3CDTF">2022-02-16T08:53:52Z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2022-02-16T16:53:54Z</dcterms:created>
  <dcterms:modified xsi:type="dcterms:W3CDTF">2022-02-16T08:53:54Z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2022-02-16T16:53:51Z</dcterms:created>
  <dcterms:modified xsi:type="dcterms:W3CDTF">2022-02-16T08:53:51Z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2022-02-16T16:53:55Z</dcterms:created>
  <dcterms:modified xsi:type="dcterms:W3CDTF">2022-02-16T08:53:55Z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5F72F5-9E27-40DC-8D57-90D02F8E40AB}">
  <ds:schemaRefs/>
</ds:datastoreItem>
</file>

<file path=customXml/itemProps3.xml><?xml version="1.0" encoding="utf-8"?>
<ds:datastoreItem xmlns:ds="http://schemas.openxmlformats.org/officeDocument/2006/customXml" ds:itemID="{7B3B2E35-AF58-4225-9C1D-54260341D06D}">
  <ds:schemaRefs/>
</ds:datastoreItem>
</file>

<file path=customXml/itemProps4.xml><?xml version="1.0" encoding="utf-8"?>
<ds:datastoreItem xmlns:ds="http://schemas.openxmlformats.org/officeDocument/2006/customXml" ds:itemID="{79C5A739-9D2A-404D-AAB6-7E6DD7EF2BF1}">
  <ds:schemaRefs/>
</ds:datastoreItem>
</file>

<file path=customXml/itemProps5.xml><?xml version="1.0" encoding="utf-8"?>
<ds:datastoreItem xmlns:ds="http://schemas.openxmlformats.org/officeDocument/2006/customXml" ds:itemID="{46C63E06-4DE9-4F50-9B7F-C3101AF8F530}">
  <ds:schemaRefs/>
</ds:datastoreItem>
</file>

<file path=customXml/itemProps6.xml><?xml version="1.0" encoding="utf-8"?>
<ds:datastoreItem xmlns:ds="http://schemas.openxmlformats.org/officeDocument/2006/customXml" ds:itemID="{309C927A-5896-4BB7-AAB7-8B45524D4066}">
  <ds:schemaRefs/>
</ds:datastoreItem>
</file>

<file path=customXml/itemProps7.xml><?xml version="1.0" encoding="utf-8"?>
<ds:datastoreItem xmlns:ds="http://schemas.openxmlformats.org/officeDocument/2006/customXml" ds:itemID="{FCDE8376-E06C-4644-A60F-FFE96388AB01}">
  <ds:schemaRefs/>
</ds:datastoreItem>
</file>

<file path=customXml/itemProps8.xml><?xml version="1.0" encoding="utf-8"?>
<ds:datastoreItem xmlns:ds="http://schemas.openxmlformats.org/officeDocument/2006/customXml" ds:itemID="{C1FC7F68-4F72-45D2-9F76-450C7568C171}">
  <ds:schemaRefs/>
</ds:datastoreItem>
</file>

<file path=customXml/itemProps9.xml><?xml version="1.0" encoding="utf-8"?>
<ds:datastoreItem xmlns:ds="http://schemas.openxmlformats.org/officeDocument/2006/customXml" ds:itemID="{E179AD48-7DD5-4099-A9BC-707A929745D6}">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7880</Words>
  <Characters>9431</Characters>
  <Lines>93</Lines>
  <Paragraphs>26</Paragraphs>
  <TotalTime>9</TotalTime>
  <ScaleCrop>false</ScaleCrop>
  <LinksUpToDate>false</LinksUpToDate>
  <CharactersWithSpaces>9617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2022-02-16T08:59:00Z</dcterms:created>
  <dc:creator>Administrator</dc:creator>
  <cp:lastModifiedBy>Administratorgy0312</cp:lastModifiedBy>
  <dcterms:modified xsi:type="dcterms:W3CDTF">2023-06-12T07:23:25Z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54327281B0C84C37962855459D3EF039</vt:lpwstr>
  </property>
</Properties>
</file>